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黑体" w:hAnsi="宋体"/>
          <w:sz w:val="24"/>
          <w:szCs w:val="36"/>
        </w:rPr>
      </w:pPr>
      <w:r>
        <w:rPr>
          <w:rFonts w:hint="eastAsia" w:ascii="黑体" w:hAnsi="宋体"/>
          <w:sz w:val="24"/>
          <w:szCs w:val="36"/>
        </w:rPr>
        <w:t>四川理工学院硕士研究生招生考试大纲</w:t>
      </w:r>
    </w:p>
    <w:p>
      <w:pPr>
        <w:jc w:val="center"/>
        <w:outlineLvl w:val="0"/>
        <w:rPr>
          <w:rFonts w:hint="eastAsia"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>《</w:t>
      </w:r>
      <w:r>
        <w:rPr>
          <w:rFonts w:hint="eastAsia" w:ascii="宋体" w:hAnsi="宋体" w:cs="宋体"/>
          <w:sz w:val="24"/>
          <w:szCs w:val="30"/>
          <w:lang w:eastAsia="zh-CN"/>
        </w:rPr>
        <w:t>职业教育学</w:t>
      </w:r>
      <w:r>
        <w:rPr>
          <w:rFonts w:hint="eastAsia" w:ascii="宋体" w:hAnsi="宋体" w:cs="宋体"/>
          <w:sz w:val="24"/>
          <w:szCs w:val="30"/>
        </w:rPr>
        <w:t>》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hAnsi="宋体"/>
          <w:b/>
          <w:kern w:val="0"/>
          <w:sz w:val="24"/>
        </w:rPr>
        <w:t>一、考试要求说明</w:t>
      </w:r>
    </w:p>
    <w:p>
      <w:pPr>
        <w:ind w:right="2460"/>
        <w:rPr>
          <w:rFonts w:hint="eastAsia"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</w:rPr>
        <w:t>科目名称：</w:t>
      </w:r>
      <w:r>
        <w:rPr>
          <w:rFonts w:hint="eastAsia" w:ascii="宋体" w:hAnsi="宋体"/>
          <w:b/>
          <w:sz w:val="24"/>
          <w:lang w:eastAsia="zh-CN"/>
        </w:rPr>
        <w:t>职业教育学</w:t>
      </w:r>
    </w:p>
    <w:p>
      <w:pPr>
        <w:ind w:right="246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适用专业：</w:t>
      </w:r>
      <w:r>
        <w:rPr>
          <w:rFonts w:hint="eastAsia" w:ascii="宋体" w:hAnsi="宋体"/>
          <w:b/>
          <w:sz w:val="24"/>
        </w:rPr>
        <w:t>(045120)(专业学位）职业技术教育</w:t>
      </w:r>
    </w:p>
    <w:p>
      <w:pPr>
        <w:widowControl/>
        <w:jc w:val="left"/>
        <w:rPr>
          <w:rFonts w:ascii="Tahoma" w:hAnsi="Tahoma" w:cs="Tahoma"/>
          <w:color w:val="333333"/>
          <w:sz w:val="24"/>
          <w:szCs w:val="24"/>
        </w:rPr>
      </w:pPr>
      <w:r>
        <w:rPr>
          <w:rFonts w:ascii="宋体" w:hAnsi="宋体"/>
          <w:b/>
          <w:sz w:val="24"/>
        </w:rPr>
        <w:t>题型结构：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名词解释题：6小题，每小题5分，共30分；简答题：4小题，每小题10分，共40分</w:t>
      </w:r>
      <w:r>
        <w:rPr>
          <w:rFonts w:hint="eastAsia" w:ascii="宋体" w:hAnsi="宋体" w:cs="宋体"/>
          <w:color w:val="333333"/>
          <w:sz w:val="24"/>
          <w:szCs w:val="24"/>
        </w:rPr>
        <w:t>；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分析论述题：4小题，每小题20分，共80分。</w:t>
      </w:r>
    </w:p>
    <w:p>
      <w:pPr>
        <w:ind w:right="44"/>
        <w:rPr>
          <w:rFonts w:hint="eastAsia" w:hAnsi="宋体"/>
          <w:kern w:val="0"/>
          <w:sz w:val="24"/>
        </w:rPr>
      </w:pPr>
      <w:r>
        <w:rPr>
          <w:rFonts w:hint="eastAsia" w:hAnsi="宋体"/>
          <w:b/>
          <w:kern w:val="0"/>
          <w:sz w:val="24"/>
        </w:rPr>
        <w:t>考试方式：</w:t>
      </w:r>
      <w:r>
        <w:rPr>
          <w:rFonts w:hint="eastAsia" w:hAnsi="宋体"/>
          <w:kern w:val="0"/>
          <w:sz w:val="24"/>
        </w:rPr>
        <w:t>闭卷笔试</w:t>
      </w:r>
    </w:p>
    <w:p>
      <w:pPr>
        <w:widowControl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</w:pPr>
      <w:r>
        <w:rPr>
          <w:rFonts w:hint="eastAsia" w:hAnsi="宋体"/>
          <w:b/>
          <w:kern w:val="0"/>
          <w:sz w:val="24"/>
        </w:rPr>
        <w:t>考试时间：</w:t>
      </w:r>
      <w:r>
        <w:rPr>
          <w:rFonts w:hint="eastAsia" w:hAnsi="宋体"/>
          <w:kern w:val="0"/>
          <w:sz w:val="24"/>
        </w:rPr>
        <w:t>3小时</w:t>
      </w:r>
    </w:p>
    <w:p>
      <w:pPr>
        <w:widowControl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bidi="ar"/>
        </w:rPr>
        <w:t>参考书目：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>马建富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主编：《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eastAsia="zh-CN" w:bidi="ar"/>
        </w:rPr>
        <w:t>职业教育学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》，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eastAsia="zh-CN" w:bidi="ar"/>
        </w:rPr>
        <w:t>华</w:t>
      </w:r>
      <w:r>
        <w:rPr>
          <w:rFonts w:hint="eastAsia" w:ascii="宋体" w:hAnsi="宋体" w:cs="宋体"/>
          <w:bCs/>
          <w:sz w:val="24"/>
          <w:lang w:eastAsia="zh-CN"/>
        </w:rPr>
        <w:t>东</w:t>
      </w:r>
      <w:r>
        <w:rPr>
          <w:rFonts w:hint="eastAsia" w:ascii="宋体" w:hAnsi="宋体" w:cs="宋体"/>
          <w:bCs/>
          <w:sz w:val="24"/>
        </w:rPr>
        <w:t>师范大学出版社，</w:t>
      </w:r>
      <w:r>
        <w:rPr>
          <w:rFonts w:hint="eastAsia" w:ascii="宋体" w:hAnsi="宋体" w:cs="宋体"/>
          <w:bCs/>
          <w:sz w:val="24"/>
          <w:lang w:val="en-US" w:eastAsia="zh-CN"/>
        </w:rPr>
        <w:t>2015</w:t>
      </w:r>
      <w:r>
        <w:rPr>
          <w:rFonts w:hint="eastAsia" w:ascii="宋体" w:hAnsi="宋体" w:cs="宋体"/>
          <w:bCs/>
          <w:sz w:val="24"/>
        </w:rPr>
        <w:t>年</w:t>
      </w:r>
    </w:p>
    <w:p>
      <w:pPr>
        <w:rPr>
          <w:rFonts w:hint="eastAsia" w:hAnsi="宋体"/>
          <w:b/>
          <w:kern w:val="0"/>
          <w:sz w:val="24"/>
        </w:rPr>
      </w:pPr>
      <w:r>
        <w:rPr>
          <w:rFonts w:hint="eastAsia" w:hAnsi="宋体"/>
          <w:b/>
          <w:kern w:val="0"/>
          <w:sz w:val="24"/>
        </w:rPr>
        <w:t>二、考试范围和内容</w:t>
      </w:r>
    </w:p>
    <w:p>
      <w:pPr>
        <w:widowControl/>
        <w:ind w:firstLine="420"/>
        <w:jc w:val="left"/>
        <w:rPr>
          <w:rFonts w:hint="eastAsia" w:ascii="宋体" w:hAnsi="宋体" w:cs="宋体"/>
          <w:color w:val="333333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一、考查目标</w:t>
      </w:r>
    </w:p>
    <w:p>
      <w:pPr>
        <w:widowControl/>
        <w:ind w:firstLine="42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1.系统掌握</w:t>
      </w:r>
      <w:r>
        <w:rPr>
          <w:rFonts w:hint="eastAsia" w:ascii="宋体" w:hAnsi="宋体" w:cs="宋体"/>
          <w:color w:val="000000"/>
          <w:kern w:val="0"/>
          <w:sz w:val="24"/>
        </w:rPr>
        <w:t>有关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</w:t>
      </w:r>
      <w:r>
        <w:rPr>
          <w:rFonts w:hint="eastAsia" w:ascii="宋体" w:hAnsi="宋体" w:cs="宋体"/>
          <w:color w:val="000000"/>
          <w:kern w:val="0"/>
          <w:sz w:val="24"/>
        </w:rPr>
        <w:t>的基本理论和基本知识</w:t>
      </w:r>
    </w:p>
    <w:p>
      <w:pPr>
        <w:widowControl/>
        <w:ind w:firstLine="420"/>
        <w:jc w:val="left"/>
        <w:rPr>
          <w:rFonts w:hint="eastAsia" w:ascii="宋体" w:hAnsi="宋体" w:cs="宋体"/>
          <w:color w:val="333333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2.能运用</w:t>
      </w:r>
      <w:r>
        <w:rPr>
          <w:rFonts w:hint="eastAsia" w:ascii="宋体" w:hAnsi="宋体" w:cs="宋体"/>
          <w:color w:val="000000"/>
          <w:kern w:val="0"/>
          <w:sz w:val="24"/>
        </w:rPr>
        <w:t>有关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</w:t>
      </w:r>
      <w:r>
        <w:rPr>
          <w:rFonts w:hint="eastAsia" w:ascii="宋体" w:hAnsi="宋体" w:cs="宋体"/>
          <w:color w:val="000000"/>
          <w:kern w:val="0"/>
          <w:sz w:val="24"/>
        </w:rPr>
        <w:t>的基本理论和基本知识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来分析和解决教育的现实问题。</w:t>
      </w:r>
    </w:p>
    <w:p>
      <w:pPr>
        <w:widowControl/>
        <w:ind w:firstLine="420"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二、考查内容</w:t>
      </w:r>
    </w:p>
    <w:p>
      <w:pPr>
        <w:widowControl/>
        <w:ind w:firstLine="420"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>一、职业教育的内涵、特性及其发展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掌握：1.职业教育的内涵与特点</w:t>
      </w:r>
    </w:p>
    <w:p>
      <w:pPr>
        <w:widowControl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了解：2.职业教育的产生与发展</w:t>
      </w:r>
    </w:p>
    <w:p>
      <w:pPr>
        <w:widowControl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掌握：3.职业教育改革与发展趋势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二、职业教育功能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掌握：1.职业教育与社会发展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掌握：2.职业教育与个体发展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掌握：3.职业教育与教育发展</w:t>
      </w:r>
    </w:p>
    <w:p>
      <w:pPr>
        <w:widowControl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三、职业教育培养目标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掌握：1.确定职业教育培养目标的依据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了解： 2.我国职业教育培养目标的定位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了解：3.职业教育培养目标的实现</w:t>
      </w:r>
    </w:p>
    <w:p>
      <w:pPr>
        <w:widowControl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四、职业教育体系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掌握：1.构建职业教育体系的依据与原则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掌握：2.我国现行职业教育体系的基本结构与特点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了解：3.我国现代职业教育体系的构建</w:t>
      </w:r>
    </w:p>
    <w:p>
      <w:pPr>
        <w:widowControl/>
        <w:numPr>
          <w:ilvl w:val="0"/>
          <w:numId w:val="1"/>
        </w:numPr>
        <w:ind w:firstLine="420"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>职业学校专业设置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掌握：1.职业学校专业设置的依据与原则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掌握：2.职业学校专业设置的内容与步骤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掌握：3.职业学校专业设置的方法与策略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六、职业教育课程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了解： 1.职业教育课程的涵义与特点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掌握：2.职业教育课程模式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掌握：3.职业教育课程开发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4.职业教育课程改革与发展的趋势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七、职业教育教学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 1.职业教育教学特点、规律和原则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掌握：2.职业教育教学过程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掌握：3.职业教育教学方法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掌握：4.职业教育教学组织形式 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八、职业学校德育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了解：1.职业学校德育的特点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掌握：2.职业学校德育的任务和内容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掌握：3.职业学校德育的原则和模式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掌握：4.职业学校德育的途径和方法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九、职业指导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掌握：1.职业指导的内容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 2.职业指导的实施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十、 职业教育教师的成长与发展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掌握：1.职业教育教师的素质结构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掌握：2.职业教育教师的专业化及培养路径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十一、 职业学校班主任工作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掌握： 1. 职业学校班主任工作的内容与方法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掌握： 2.职业学校问题学生的教育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 十二、职业教育研究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了解： 1.职业教育研究的基本原则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了解：2.职业教育研究的基本过程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 </w:t>
      </w:r>
      <w:bookmarkStart w:id="0" w:name="_GoBack"/>
      <w:bookmarkEnd w:id="0"/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>掌握：3.职业教育常用研究方法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br w:type="textWrapping"/>
      </w:r>
    </w:p>
    <w:p>
      <w:pPr>
        <w:widowControl/>
        <w:ind w:firstLine="420"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68627"/>
    <w:multiLevelType w:val="singleLevel"/>
    <w:tmpl w:val="57C68627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D52B5C"/>
    <w:rsid w:val="3A0079AF"/>
    <w:rsid w:val="631806B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3366CC"/>
      <w:u w:val="none"/>
    </w:rPr>
  </w:style>
  <w:style w:type="character" w:styleId="5">
    <w:name w:val="Emphasis"/>
    <w:basedOn w:val="3"/>
    <w:qFormat/>
    <w:uiPriority w:val="0"/>
    <w:rPr>
      <w:sz w:val="21"/>
      <w:szCs w:val="21"/>
    </w:rPr>
  </w:style>
  <w:style w:type="character" w:styleId="6">
    <w:name w:val="Hyperlink"/>
    <w:basedOn w:val="3"/>
    <w:qFormat/>
    <w:uiPriority w:val="0"/>
    <w:rPr>
      <w:color w:val="3366CC"/>
      <w:u w:val="none"/>
    </w:rPr>
  </w:style>
  <w:style w:type="character" w:styleId="7">
    <w:name w:val="HTML Code"/>
    <w:basedOn w:val="3"/>
    <w:qFormat/>
    <w:uiPriority w:val="0"/>
    <w:rPr>
      <w:rFonts w:ascii="Courier New" w:hAnsi="Courier New"/>
      <w:sz w:val="21"/>
      <w:szCs w:val="21"/>
    </w:rPr>
  </w:style>
  <w:style w:type="character" w:styleId="8">
    <w:name w:val="HTML Cite"/>
    <w:basedOn w:val="3"/>
    <w:qFormat/>
    <w:uiPriority w:val="0"/>
    <w:rPr>
      <w:sz w:val="21"/>
      <w:szCs w:val="21"/>
    </w:rPr>
  </w:style>
  <w:style w:type="character" w:customStyle="1" w:styleId="10">
    <w:name w:val="editor_quote"/>
    <w:basedOn w:val="3"/>
    <w:qFormat/>
    <w:uiPriority w:val="0"/>
  </w:style>
  <w:style w:type="character" w:customStyle="1" w:styleId="11">
    <w:name w:val="editor_createlink"/>
    <w:basedOn w:val="3"/>
    <w:qFormat/>
    <w:uiPriority w:val="0"/>
  </w:style>
  <w:style w:type="character" w:customStyle="1" w:styleId="12">
    <w:name w:val="editor_createlink_mouseover"/>
    <w:basedOn w:val="3"/>
    <w:qFormat/>
    <w:uiPriority w:val="0"/>
  </w:style>
  <w:style w:type="character" w:customStyle="1" w:styleId="13">
    <w:name w:val="editor_createlink_mousedown"/>
    <w:basedOn w:val="3"/>
    <w:qFormat/>
    <w:uiPriority w:val="0"/>
  </w:style>
  <w:style w:type="character" w:customStyle="1" w:styleId="14">
    <w:name w:val="editor_createlink_disabled"/>
    <w:basedOn w:val="3"/>
    <w:qFormat/>
    <w:uiPriority w:val="0"/>
  </w:style>
  <w:style w:type="character" w:customStyle="1" w:styleId="15">
    <w:name w:val="editor_quote_active"/>
    <w:basedOn w:val="3"/>
    <w:qFormat/>
    <w:uiPriority w:val="0"/>
  </w:style>
  <w:style w:type="character" w:customStyle="1" w:styleId="16">
    <w:name w:val="editor_createlink_active"/>
    <w:basedOn w:val="3"/>
    <w:qFormat/>
    <w:uiPriority w:val="0"/>
  </w:style>
  <w:style w:type="character" w:customStyle="1" w:styleId="17">
    <w:name w:val="editor_quote_mouseover"/>
    <w:basedOn w:val="3"/>
    <w:qFormat/>
    <w:uiPriority w:val="0"/>
  </w:style>
  <w:style w:type="character" w:customStyle="1" w:styleId="18">
    <w:name w:val="editor_quote_mousedown"/>
    <w:basedOn w:val="3"/>
    <w:qFormat/>
    <w:uiPriority w:val="0"/>
  </w:style>
  <w:style w:type="character" w:customStyle="1" w:styleId="19">
    <w:name w:val="editor_quote_disabled"/>
    <w:basedOn w:val="3"/>
    <w:qFormat/>
    <w:uiPriority w:val="0"/>
  </w:style>
  <w:style w:type="character" w:customStyle="1" w:styleId="20">
    <w:name w:val="hover40"/>
    <w:basedOn w:val="3"/>
    <w:qFormat/>
    <w:uiPriority w:val="0"/>
    <w:rPr>
      <w:shd w:val="clear" w:fill="E9ED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2016-09-02T01:49:44Z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